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D76D5" w:rsidRDefault="00FD76D5" w:rsidP="00FD76D5">
      <w:pPr>
        <w:ind w:right="794"/>
        <w:jc w:val="both"/>
        <w:rPr>
          <w:rFonts w:ascii="Times New Roman" w:hAnsi="Times New Roman"/>
          <w:sz w:val="22"/>
          <w:szCs w:val="24"/>
        </w:rPr>
      </w:pPr>
    </w:p>
    <w:p w:rsidR="00FD76D5" w:rsidRDefault="00FD76D5" w:rsidP="00171D33">
      <w:pPr>
        <w:spacing w:line="360" w:lineRule="auto"/>
        <w:ind w:left="2124" w:firstLine="708"/>
        <w:jc w:val="both"/>
        <w:rPr>
          <w:rFonts w:ascii="Times New Roman" w:hAnsi="Times New Roman"/>
          <w:b/>
        </w:rPr>
      </w:pPr>
    </w:p>
    <w:p w:rsidR="00FD76D5" w:rsidRDefault="00171D33" w:rsidP="00FD76D5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Classe: 4 MEA </w:t>
      </w:r>
      <w:proofErr w:type="spellStart"/>
      <w:r>
        <w:rPr>
          <w:rFonts w:ascii="Times New Roman" w:hAnsi="Times New Roman"/>
          <w:b/>
        </w:rPr>
        <w:t>a.s.</w:t>
      </w:r>
      <w:proofErr w:type="spellEnd"/>
      <w:r>
        <w:rPr>
          <w:rFonts w:ascii="Times New Roman" w:hAnsi="Times New Roman"/>
          <w:b/>
        </w:rPr>
        <w:t xml:space="preserve"> 2024 / 2025</w:t>
      </w:r>
    </w:p>
    <w:p w:rsidR="00171D33" w:rsidRDefault="00171D33" w:rsidP="00FD76D5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Materia: lingua e letteratura italiana</w:t>
      </w:r>
    </w:p>
    <w:p w:rsidR="00FD76D5" w:rsidRPr="00F42076" w:rsidRDefault="00FD76D5" w:rsidP="00FD76D5">
      <w:pPr>
        <w:spacing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Libro di testo: </w:t>
      </w:r>
      <w:r w:rsidR="00171D33">
        <w:rPr>
          <w:rFonts w:ascii="Times New Roman" w:hAnsi="Times New Roman"/>
          <w:bCs/>
        </w:rPr>
        <w:t xml:space="preserve">M. </w:t>
      </w:r>
      <w:proofErr w:type="spellStart"/>
      <w:r w:rsidR="00171D33">
        <w:rPr>
          <w:rFonts w:ascii="Times New Roman" w:hAnsi="Times New Roman"/>
          <w:bCs/>
        </w:rPr>
        <w:t>Sambugar</w:t>
      </w:r>
      <w:proofErr w:type="spellEnd"/>
      <w:r w:rsidR="00171D33">
        <w:rPr>
          <w:rFonts w:ascii="Times New Roman" w:hAnsi="Times New Roman"/>
          <w:bCs/>
        </w:rPr>
        <w:t xml:space="preserve"> – G. </w:t>
      </w:r>
      <w:proofErr w:type="spellStart"/>
      <w:r w:rsidR="00171D33">
        <w:rPr>
          <w:rFonts w:ascii="Times New Roman" w:hAnsi="Times New Roman"/>
          <w:bCs/>
        </w:rPr>
        <w:t>Salà</w:t>
      </w:r>
      <w:proofErr w:type="spellEnd"/>
      <w:r w:rsidR="00171D33">
        <w:rPr>
          <w:rFonts w:ascii="Times New Roman" w:hAnsi="Times New Roman"/>
          <w:bCs/>
        </w:rPr>
        <w:t xml:space="preserve"> -Il bello della letteratura- vol2 ed. La Nuova Italia</w:t>
      </w:r>
    </w:p>
    <w:p w:rsidR="00FD76D5" w:rsidRDefault="00FD76D5" w:rsidP="00FD76D5">
      <w:p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Prof.ssa Donatella </w:t>
      </w:r>
      <w:proofErr w:type="spellStart"/>
      <w:r>
        <w:rPr>
          <w:rFonts w:ascii="Times New Roman" w:hAnsi="Times New Roman"/>
          <w:b/>
        </w:rPr>
        <w:t>Ripaldi</w:t>
      </w:r>
      <w:proofErr w:type="spellEnd"/>
    </w:p>
    <w:p w:rsidR="00FD76D5" w:rsidRDefault="00FD76D5" w:rsidP="00FD76D5">
      <w:p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Programma svolto</w:t>
      </w:r>
    </w:p>
    <w:p w:rsidR="00FD76D5" w:rsidRDefault="00FD76D5" w:rsidP="00EF79BE">
      <w:pPr>
        <w:spacing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Modulo di raccordo</w:t>
      </w:r>
      <w:r>
        <w:rPr>
          <w:rFonts w:ascii="Times New Roman" w:hAnsi="Times New Roman"/>
          <w:bCs/>
        </w:rPr>
        <w:t xml:space="preserve"> L. Ariosto: vita, opere, poetica; brani scelti da “L’Orlando Furioso”</w:t>
      </w:r>
      <w:r w:rsidR="00EF79BE">
        <w:rPr>
          <w:rFonts w:ascii="Times New Roman" w:hAnsi="Times New Roman"/>
          <w:bCs/>
        </w:rPr>
        <w:t>; N. Machiavelli: vita, opere, poetica; brani scelti da “Il Principe”.</w:t>
      </w:r>
    </w:p>
    <w:p w:rsidR="00FD76D5" w:rsidRDefault="00FD76D5" w:rsidP="00FD76D5">
      <w:pPr>
        <w:spacing w:line="360" w:lineRule="auto"/>
        <w:jc w:val="both"/>
        <w:rPr>
          <w:rFonts w:ascii="Times New Roman" w:hAnsi="Times New Roman"/>
          <w:bCs/>
        </w:rPr>
      </w:pPr>
      <w:r w:rsidRPr="00FD76D5">
        <w:rPr>
          <w:rFonts w:ascii="Times New Roman" w:hAnsi="Times New Roman"/>
          <w:b/>
        </w:rPr>
        <w:t>L’età del barocco e della nuova scienza</w:t>
      </w:r>
      <w:r>
        <w:rPr>
          <w:rFonts w:ascii="Times New Roman" w:hAnsi="Times New Roman"/>
          <w:bCs/>
        </w:rPr>
        <w:t>: sintesi; gli intellettuali e l’organizzazione della cultura.</w:t>
      </w:r>
    </w:p>
    <w:p w:rsidR="00FD76D5" w:rsidRDefault="00FD76D5" w:rsidP="00FD76D5">
      <w:pPr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G. Galilei</w:t>
      </w:r>
      <w:r>
        <w:rPr>
          <w:rFonts w:ascii="Times New Roman" w:hAnsi="Times New Roman"/>
          <w:bCs/>
        </w:rPr>
        <w:t>: vita, opere, poetica</w:t>
      </w:r>
    </w:p>
    <w:p w:rsidR="00FD76D5" w:rsidRDefault="00FD76D5" w:rsidP="00FD76D5">
      <w:pPr>
        <w:spacing w:line="360" w:lineRule="auto"/>
        <w:jc w:val="both"/>
        <w:rPr>
          <w:rFonts w:ascii="Times New Roman" w:hAnsi="Times New Roman"/>
          <w:bCs/>
        </w:rPr>
      </w:pPr>
      <w:r w:rsidRPr="00F3606B">
        <w:rPr>
          <w:rFonts w:ascii="Times New Roman" w:hAnsi="Times New Roman"/>
          <w:b/>
        </w:rPr>
        <w:t>Testi</w:t>
      </w:r>
      <w:r>
        <w:rPr>
          <w:rFonts w:ascii="Times New Roman" w:hAnsi="Times New Roman"/>
          <w:bCs/>
        </w:rPr>
        <w:t xml:space="preserve">: Lettera a Benedetto Castelli; Lettera a madama Cristina di Lorena granduchessa di </w:t>
      </w:r>
      <w:proofErr w:type="gramStart"/>
      <w:r>
        <w:rPr>
          <w:rFonts w:ascii="Times New Roman" w:hAnsi="Times New Roman"/>
          <w:bCs/>
        </w:rPr>
        <w:t>Toscana;  La</w:t>
      </w:r>
      <w:proofErr w:type="gramEnd"/>
      <w:r>
        <w:rPr>
          <w:rFonts w:ascii="Times New Roman" w:hAnsi="Times New Roman"/>
          <w:bCs/>
        </w:rPr>
        <w:t xml:space="preserve"> favola dei suoni (da “Il Saggiatore”); </w:t>
      </w:r>
      <w:r w:rsidR="00D945F2">
        <w:rPr>
          <w:rFonts w:ascii="Times New Roman" w:hAnsi="Times New Roman"/>
          <w:bCs/>
        </w:rPr>
        <w:t>“I seguaci di Aristotele e l’ipse dixit”, “Osservare per capire”</w:t>
      </w:r>
      <w:r>
        <w:rPr>
          <w:rFonts w:ascii="Times New Roman" w:hAnsi="Times New Roman"/>
          <w:bCs/>
        </w:rPr>
        <w:t xml:space="preserve"> (da “ Dialogo sopra i due massimi sistemi del mondo”); testo dell’abiura.</w:t>
      </w:r>
      <w:r w:rsidR="00D945F2">
        <w:rPr>
          <w:rFonts w:ascii="Times New Roman" w:hAnsi="Times New Roman"/>
          <w:bCs/>
        </w:rPr>
        <w:t xml:space="preserve"> “1992: il caso Galilei è chiuso” (Giovanni Paolo II)</w:t>
      </w:r>
    </w:p>
    <w:p w:rsidR="00FD76D5" w:rsidRPr="00FD76D5" w:rsidRDefault="00FD76D5" w:rsidP="00FD76D5">
      <w:pPr>
        <w:spacing w:line="360" w:lineRule="auto"/>
        <w:jc w:val="both"/>
        <w:rPr>
          <w:rFonts w:ascii="Times New Roman" w:hAnsi="Times New Roman"/>
          <w:b/>
        </w:rPr>
      </w:pPr>
      <w:r w:rsidRPr="00FD76D5">
        <w:rPr>
          <w:rFonts w:ascii="Times New Roman" w:hAnsi="Times New Roman"/>
          <w:b/>
        </w:rPr>
        <w:t>L’Illuminismo e lo spirito enciclopedico</w:t>
      </w:r>
      <w:r w:rsidR="00904425">
        <w:rPr>
          <w:rFonts w:ascii="Times New Roman" w:hAnsi="Times New Roman"/>
          <w:b/>
        </w:rPr>
        <w:t>.</w:t>
      </w:r>
    </w:p>
    <w:p w:rsidR="00FD76D5" w:rsidRPr="00FD76D5" w:rsidRDefault="00FD76D5" w:rsidP="00FD76D5">
      <w:pPr>
        <w:spacing w:line="360" w:lineRule="auto"/>
        <w:jc w:val="both"/>
        <w:rPr>
          <w:rFonts w:ascii="Times New Roman" w:hAnsi="Times New Roman"/>
          <w:b/>
        </w:rPr>
      </w:pPr>
      <w:r w:rsidRPr="00FD76D5">
        <w:rPr>
          <w:rFonts w:ascii="Times New Roman" w:hAnsi="Times New Roman"/>
          <w:b/>
        </w:rPr>
        <w:t>Gli intellettuali e le istituzioni culturali in Italia</w:t>
      </w:r>
      <w:r w:rsidR="00904425">
        <w:rPr>
          <w:rFonts w:ascii="Times New Roman" w:hAnsi="Times New Roman"/>
          <w:b/>
        </w:rPr>
        <w:t>.</w:t>
      </w:r>
    </w:p>
    <w:p w:rsidR="00FD76D5" w:rsidRPr="00904425" w:rsidRDefault="00FD76D5" w:rsidP="00FD76D5">
      <w:pPr>
        <w:spacing w:line="360" w:lineRule="auto"/>
        <w:jc w:val="both"/>
        <w:rPr>
          <w:rFonts w:ascii="Times New Roman" w:hAnsi="Times New Roman"/>
          <w:b/>
        </w:rPr>
      </w:pPr>
      <w:r w:rsidRPr="00904425">
        <w:rPr>
          <w:rFonts w:ascii="Times New Roman" w:hAnsi="Times New Roman"/>
          <w:b/>
        </w:rPr>
        <w:t>L’Illuminismo francese</w:t>
      </w:r>
      <w:r w:rsidR="00904425">
        <w:rPr>
          <w:rFonts w:ascii="Times New Roman" w:hAnsi="Times New Roman"/>
          <w:b/>
        </w:rPr>
        <w:t>.</w:t>
      </w:r>
    </w:p>
    <w:p w:rsidR="00FD76D5" w:rsidRDefault="00FD76D5" w:rsidP="00FD76D5">
      <w:pPr>
        <w:spacing w:line="360" w:lineRule="auto"/>
        <w:jc w:val="both"/>
        <w:rPr>
          <w:rFonts w:ascii="Times New Roman" w:hAnsi="Times New Roman"/>
          <w:bCs/>
        </w:rPr>
      </w:pPr>
      <w:r w:rsidRPr="00F3606B">
        <w:rPr>
          <w:rFonts w:ascii="Times New Roman" w:hAnsi="Times New Roman"/>
          <w:b/>
        </w:rPr>
        <w:t>Testi</w:t>
      </w:r>
      <w:r>
        <w:rPr>
          <w:rFonts w:ascii="Times New Roman" w:hAnsi="Times New Roman"/>
          <w:bCs/>
        </w:rPr>
        <w:t xml:space="preserve"> D. Diderot L’eclettismo filosofico (da “Enciclopedia”)</w:t>
      </w:r>
      <w:r w:rsidR="00904425">
        <w:rPr>
          <w:rFonts w:ascii="Times New Roman" w:hAnsi="Times New Roman"/>
          <w:bCs/>
        </w:rPr>
        <w:t>; Voltaire “Bisogna coltivare il proprio giardino (da “Candido”); C. L. de Montesquieu “Le leggi, le forme del diritto, la divisione dei poteri” (da “Saggio che si occupa delle leggi naturali…”).</w:t>
      </w:r>
    </w:p>
    <w:p w:rsidR="00904425" w:rsidRPr="00904425" w:rsidRDefault="00904425" w:rsidP="00FD76D5">
      <w:pPr>
        <w:spacing w:line="360" w:lineRule="auto"/>
        <w:jc w:val="both"/>
        <w:rPr>
          <w:rFonts w:ascii="Times New Roman" w:hAnsi="Times New Roman"/>
          <w:b/>
        </w:rPr>
      </w:pPr>
      <w:r w:rsidRPr="00904425">
        <w:rPr>
          <w:rFonts w:ascii="Times New Roman" w:hAnsi="Times New Roman"/>
          <w:b/>
        </w:rPr>
        <w:t>La trattatistica dell’Illuminismo italiano</w:t>
      </w:r>
      <w:r>
        <w:rPr>
          <w:rFonts w:ascii="Times New Roman" w:hAnsi="Times New Roman"/>
          <w:b/>
        </w:rPr>
        <w:t>.</w:t>
      </w:r>
    </w:p>
    <w:p w:rsidR="00904425" w:rsidRDefault="00904425" w:rsidP="00FD76D5">
      <w:pPr>
        <w:spacing w:line="360" w:lineRule="auto"/>
        <w:jc w:val="both"/>
        <w:rPr>
          <w:rFonts w:ascii="Times New Roman" w:hAnsi="Times New Roman"/>
          <w:bCs/>
        </w:rPr>
      </w:pPr>
      <w:r w:rsidRPr="00F3606B">
        <w:rPr>
          <w:rFonts w:ascii="Times New Roman" w:hAnsi="Times New Roman"/>
          <w:b/>
        </w:rPr>
        <w:t>Testi</w:t>
      </w:r>
      <w:r>
        <w:rPr>
          <w:rFonts w:ascii="Times New Roman" w:hAnsi="Times New Roman"/>
          <w:bCs/>
        </w:rPr>
        <w:t>: C. Beccaria L’utilità delle pene è la negazione della loro crudeltà (a “Dei delitti e delle pene”); P. Verri Cos’è questo Caffè? (da “Il Caffè”).</w:t>
      </w:r>
    </w:p>
    <w:p w:rsidR="00904425" w:rsidRDefault="00904425" w:rsidP="00FD76D5">
      <w:pPr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C. Goldoni</w:t>
      </w:r>
      <w:r>
        <w:rPr>
          <w:rFonts w:ascii="Times New Roman" w:hAnsi="Times New Roman"/>
          <w:bCs/>
        </w:rPr>
        <w:t>: vita, opere, poetica</w:t>
      </w:r>
    </w:p>
    <w:p w:rsidR="00904425" w:rsidRDefault="00904425" w:rsidP="00FD76D5">
      <w:pPr>
        <w:spacing w:line="360" w:lineRule="auto"/>
        <w:jc w:val="both"/>
        <w:rPr>
          <w:rFonts w:ascii="Times New Roman" w:hAnsi="Times New Roman"/>
          <w:bCs/>
        </w:rPr>
      </w:pPr>
      <w:r w:rsidRPr="00F3606B">
        <w:rPr>
          <w:rFonts w:ascii="Times New Roman" w:hAnsi="Times New Roman"/>
          <w:b/>
        </w:rPr>
        <w:t>Testi</w:t>
      </w:r>
      <w:r>
        <w:rPr>
          <w:rFonts w:ascii="Times New Roman" w:hAnsi="Times New Roman"/>
          <w:bCs/>
        </w:rPr>
        <w:t>: “Mondo” e “teatro” nella poetica di Goldoni (da “Prefazione dell’autore alla prima raccolta delle commedie”); La Locandiera (riassunto).</w:t>
      </w:r>
    </w:p>
    <w:p w:rsidR="00904425" w:rsidRDefault="00904425" w:rsidP="00FD76D5">
      <w:pPr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G. Parini</w:t>
      </w:r>
      <w:r>
        <w:rPr>
          <w:rFonts w:ascii="Times New Roman" w:hAnsi="Times New Roman"/>
          <w:bCs/>
        </w:rPr>
        <w:t>: vita, opere, poetica.</w:t>
      </w:r>
    </w:p>
    <w:p w:rsidR="00904425" w:rsidRDefault="00904425" w:rsidP="00FD76D5">
      <w:pPr>
        <w:spacing w:line="360" w:lineRule="auto"/>
        <w:jc w:val="both"/>
        <w:rPr>
          <w:rFonts w:ascii="Times New Roman" w:hAnsi="Times New Roman"/>
          <w:bCs/>
        </w:rPr>
      </w:pPr>
      <w:r w:rsidRPr="00F3606B">
        <w:rPr>
          <w:rFonts w:ascii="Times New Roman" w:hAnsi="Times New Roman"/>
          <w:b/>
        </w:rPr>
        <w:t>Testi</w:t>
      </w:r>
      <w:r>
        <w:rPr>
          <w:rFonts w:ascii="Times New Roman" w:hAnsi="Times New Roman"/>
          <w:bCs/>
        </w:rPr>
        <w:t xml:space="preserve">: </w:t>
      </w:r>
      <w:r w:rsidR="00D945F2">
        <w:rPr>
          <w:rFonts w:ascii="Times New Roman" w:hAnsi="Times New Roman"/>
          <w:bCs/>
        </w:rPr>
        <w:t xml:space="preserve">Il risveglio del “giovin signore”, </w:t>
      </w:r>
      <w:r>
        <w:rPr>
          <w:rFonts w:ascii="Times New Roman" w:hAnsi="Times New Roman"/>
          <w:bCs/>
        </w:rPr>
        <w:t>la “vergine cuccia”</w:t>
      </w:r>
      <w:r w:rsidR="00D945F2">
        <w:rPr>
          <w:rFonts w:ascii="Times New Roman" w:hAnsi="Times New Roman"/>
          <w:bCs/>
        </w:rPr>
        <w:t xml:space="preserve">, la sfilata degli imbecilli </w:t>
      </w:r>
      <w:r>
        <w:rPr>
          <w:rFonts w:ascii="Times New Roman" w:hAnsi="Times New Roman"/>
          <w:bCs/>
        </w:rPr>
        <w:t>(da “Il Giorno).</w:t>
      </w:r>
    </w:p>
    <w:p w:rsidR="00904425" w:rsidRDefault="00904425" w:rsidP="00FD76D5">
      <w:pPr>
        <w:spacing w:line="360" w:lineRule="auto"/>
        <w:jc w:val="both"/>
        <w:rPr>
          <w:rFonts w:ascii="Times New Roman" w:hAnsi="Times New Roman"/>
          <w:bCs/>
        </w:rPr>
      </w:pPr>
      <w:r w:rsidRPr="00904425">
        <w:rPr>
          <w:rFonts w:ascii="Times New Roman" w:hAnsi="Times New Roman"/>
          <w:b/>
        </w:rPr>
        <w:t>Neoclassicismo e Preromanticismo</w:t>
      </w:r>
      <w:r>
        <w:rPr>
          <w:rFonts w:ascii="Times New Roman" w:hAnsi="Times New Roman"/>
          <w:bCs/>
        </w:rPr>
        <w:t xml:space="preserve"> in Italia e in Europa: sintesi.</w:t>
      </w:r>
    </w:p>
    <w:p w:rsidR="00904425" w:rsidRDefault="00904425" w:rsidP="00FD76D5">
      <w:pPr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U. Foscolo</w:t>
      </w:r>
      <w:r>
        <w:rPr>
          <w:rFonts w:ascii="Times New Roman" w:hAnsi="Times New Roman"/>
          <w:bCs/>
        </w:rPr>
        <w:t>: vita, opere, poetica</w:t>
      </w:r>
    </w:p>
    <w:p w:rsidR="00904425" w:rsidRDefault="00904425" w:rsidP="00FD76D5">
      <w:pPr>
        <w:spacing w:line="360" w:lineRule="auto"/>
        <w:jc w:val="both"/>
        <w:rPr>
          <w:rFonts w:ascii="Times New Roman" w:hAnsi="Times New Roman"/>
          <w:bCs/>
        </w:rPr>
      </w:pPr>
      <w:r w:rsidRPr="00F3606B">
        <w:rPr>
          <w:rFonts w:ascii="Times New Roman" w:hAnsi="Times New Roman"/>
          <w:b/>
        </w:rPr>
        <w:t>Testi</w:t>
      </w:r>
      <w:r>
        <w:rPr>
          <w:rFonts w:ascii="Times New Roman" w:hAnsi="Times New Roman"/>
          <w:bCs/>
        </w:rPr>
        <w:t xml:space="preserve">: </w:t>
      </w:r>
      <w:r w:rsidR="00D945F2">
        <w:rPr>
          <w:rFonts w:ascii="Times New Roman" w:hAnsi="Times New Roman"/>
          <w:bCs/>
        </w:rPr>
        <w:t xml:space="preserve">Tutto è </w:t>
      </w:r>
      <w:proofErr w:type="gramStart"/>
      <w:r w:rsidR="00D945F2">
        <w:rPr>
          <w:rFonts w:ascii="Times New Roman" w:hAnsi="Times New Roman"/>
          <w:bCs/>
        </w:rPr>
        <w:t xml:space="preserve">perduto, </w:t>
      </w:r>
      <w:r>
        <w:rPr>
          <w:rFonts w:ascii="Times New Roman" w:hAnsi="Times New Roman"/>
          <w:bCs/>
        </w:rPr>
        <w:t xml:space="preserve"> </w:t>
      </w:r>
      <w:r w:rsidR="00D945F2">
        <w:rPr>
          <w:rFonts w:ascii="Times New Roman" w:hAnsi="Times New Roman"/>
          <w:bCs/>
        </w:rPr>
        <w:t>Il</w:t>
      </w:r>
      <w:proofErr w:type="gramEnd"/>
      <w:r w:rsidR="00D945F2">
        <w:rPr>
          <w:rFonts w:ascii="Times New Roman" w:hAnsi="Times New Roman"/>
          <w:bCs/>
        </w:rPr>
        <w:t xml:space="preserve"> bacio; lettera di addio a Teresa</w:t>
      </w:r>
      <w:r w:rsidR="00F3606B">
        <w:rPr>
          <w:rFonts w:ascii="Times New Roman" w:hAnsi="Times New Roman"/>
          <w:bCs/>
        </w:rPr>
        <w:t>;</w:t>
      </w:r>
      <w:r w:rsidR="005D6ABC">
        <w:rPr>
          <w:rFonts w:ascii="Times New Roman" w:hAnsi="Times New Roman"/>
          <w:bCs/>
        </w:rPr>
        <w:t>(da “Le ultime lettere di Jacopo Ortis”)</w:t>
      </w:r>
      <w:r w:rsidR="002E5917">
        <w:rPr>
          <w:rFonts w:ascii="Times New Roman" w:hAnsi="Times New Roman"/>
          <w:bCs/>
        </w:rPr>
        <w:t>; Alla Sera; In morte del fratello Giovanni; A Zacinto (da  “Sonetti”); “Dei Sepolcri”: struttura, riassunto e parafrasi di parte scelte.</w:t>
      </w:r>
    </w:p>
    <w:p w:rsidR="002E5917" w:rsidRDefault="002E5917" w:rsidP="00FD76D5">
      <w:pPr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Romanticismo</w:t>
      </w:r>
      <w:r>
        <w:rPr>
          <w:rFonts w:ascii="Times New Roman" w:hAnsi="Times New Roman"/>
          <w:bCs/>
        </w:rPr>
        <w:t>: caratteri generali in Italia e in Europa</w:t>
      </w:r>
    </w:p>
    <w:p w:rsidR="002E5917" w:rsidRDefault="002E5917" w:rsidP="00FD76D5">
      <w:pPr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 xml:space="preserve">Testi: Sulla maniera e l’utilità delle traduzioni (Madame de </w:t>
      </w:r>
      <w:proofErr w:type="spellStart"/>
      <w:r>
        <w:rPr>
          <w:rFonts w:ascii="Times New Roman" w:hAnsi="Times New Roman"/>
          <w:bCs/>
        </w:rPr>
        <w:t>Stael</w:t>
      </w:r>
      <w:proofErr w:type="spellEnd"/>
      <w:r>
        <w:rPr>
          <w:rFonts w:ascii="Times New Roman" w:hAnsi="Times New Roman"/>
          <w:bCs/>
        </w:rPr>
        <w:t xml:space="preserve">); </w:t>
      </w:r>
      <w:r w:rsidR="00F3606B">
        <w:rPr>
          <w:rFonts w:ascii="Times New Roman" w:hAnsi="Times New Roman"/>
          <w:bCs/>
        </w:rPr>
        <w:t xml:space="preserve">Lettera semiseria di Grisostomo al suo figliolo </w:t>
      </w:r>
      <w:r>
        <w:rPr>
          <w:rFonts w:ascii="Times New Roman" w:hAnsi="Times New Roman"/>
          <w:bCs/>
        </w:rPr>
        <w:t>(G. Berchet).</w:t>
      </w:r>
    </w:p>
    <w:p w:rsidR="002E5917" w:rsidRPr="002E5917" w:rsidRDefault="002E5917" w:rsidP="002E5917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Manzoni:</w:t>
      </w:r>
      <w:r>
        <w:rPr>
          <w:rFonts w:ascii="Times New Roman" w:hAnsi="Times New Roman"/>
          <w:bCs/>
        </w:rPr>
        <w:t xml:space="preserve"> vita, opere, poetica.</w:t>
      </w:r>
    </w:p>
    <w:p w:rsidR="002E5917" w:rsidRDefault="002E5917" w:rsidP="002E5917">
      <w:pPr>
        <w:spacing w:line="360" w:lineRule="auto"/>
        <w:ind w:left="360"/>
        <w:jc w:val="both"/>
        <w:rPr>
          <w:rFonts w:ascii="Times New Roman" w:hAnsi="Times New Roman"/>
          <w:bCs/>
        </w:rPr>
      </w:pPr>
      <w:r w:rsidRPr="00F3606B">
        <w:rPr>
          <w:rFonts w:ascii="Times New Roman" w:hAnsi="Times New Roman"/>
          <w:b/>
        </w:rPr>
        <w:t>Testi</w:t>
      </w:r>
      <w:r>
        <w:rPr>
          <w:rFonts w:ascii="Times New Roman" w:hAnsi="Times New Roman"/>
          <w:bCs/>
        </w:rPr>
        <w:t xml:space="preserve">: Storia e invenzione poetica (“Lettre a M. Chauvet”); L’utile, il vero, l’interessante (“Lettera sul Romanticismo); La Pentecoste (“Inni Sacri”); Il cinque maggio; Marzo 1821 (Odi); Coro del III atto (“Adelchi”); </w:t>
      </w:r>
      <w:r w:rsidR="00F3606B">
        <w:rPr>
          <w:rFonts w:ascii="Times New Roman" w:hAnsi="Times New Roman"/>
          <w:bCs/>
        </w:rPr>
        <w:t>brani scelti da “I promessi sposi”</w:t>
      </w:r>
    </w:p>
    <w:p w:rsidR="00AE4650" w:rsidRDefault="00AE4650" w:rsidP="00AE4650">
      <w:pPr>
        <w:spacing w:line="360" w:lineRule="auto"/>
        <w:jc w:val="both"/>
        <w:rPr>
          <w:rFonts w:ascii="Times New Roman" w:hAnsi="Times New Roman"/>
          <w:bCs/>
        </w:rPr>
      </w:pPr>
    </w:p>
    <w:p w:rsidR="00AE4650" w:rsidRDefault="00F3606B" w:rsidP="002E5917">
      <w:pPr>
        <w:spacing w:line="360" w:lineRule="auto"/>
        <w:ind w:left="36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G. Leopardi: </w:t>
      </w:r>
      <w:r>
        <w:rPr>
          <w:rFonts w:ascii="Times New Roman" w:hAnsi="Times New Roman"/>
          <w:bCs/>
        </w:rPr>
        <w:t>vita, opere, poetica</w:t>
      </w:r>
    </w:p>
    <w:p w:rsidR="00F3606B" w:rsidRDefault="00F3606B" w:rsidP="002E5917">
      <w:pPr>
        <w:spacing w:line="360" w:lineRule="auto"/>
        <w:ind w:left="36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Testi:</w:t>
      </w:r>
      <w:r>
        <w:rPr>
          <w:rFonts w:ascii="Times New Roman" w:hAnsi="Times New Roman"/>
          <w:bCs/>
        </w:rPr>
        <w:t xml:space="preserve"> Qui tutto è morte; (Epistolario); Il vago e l’indefinito; Il piacere ossia la felicità (Zibaldone); Il passero solitario, A Silvia, Il sabato del villaggio, (Canti); La ginestra (sintesi); Dialogo della Natura e di un Islandese (Operette Morali).</w:t>
      </w:r>
    </w:p>
    <w:p w:rsidR="00F3606B" w:rsidRDefault="00F3606B" w:rsidP="002E5917">
      <w:pPr>
        <w:spacing w:line="360" w:lineRule="auto"/>
        <w:ind w:left="360"/>
        <w:jc w:val="both"/>
        <w:rPr>
          <w:rFonts w:ascii="Times New Roman" w:hAnsi="Times New Roman"/>
          <w:bCs/>
        </w:rPr>
      </w:pPr>
    </w:p>
    <w:p w:rsidR="00F3606B" w:rsidRDefault="00F3606B" w:rsidP="002E5917">
      <w:pPr>
        <w:spacing w:line="360" w:lineRule="auto"/>
        <w:ind w:left="360"/>
        <w:jc w:val="both"/>
        <w:rPr>
          <w:rFonts w:ascii="Times New Roman" w:hAnsi="Times New Roman"/>
          <w:bCs/>
        </w:rPr>
      </w:pPr>
    </w:p>
    <w:p w:rsidR="00F3606B" w:rsidRPr="00F3606B" w:rsidRDefault="00F3606B" w:rsidP="002E5917">
      <w:pPr>
        <w:spacing w:line="360" w:lineRule="auto"/>
        <w:ind w:left="3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Gli studenti                                                                                          La docente</w:t>
      </w:r>
    </w:p>
    <w:p w:rsidR="00F3606B" w:rsidRPr="00F3606B" w:rsidRDefault="00F3606B" w:rsidP="002E5917">
      <w:pPr>
        <w:spacing w:line="360" w:lineRule="auto"/>
        <w:ind w:left="360"/>
        <w:jc w:val="both"/>
        <w:rPr>
          <w:rFonts w:ascii="Times New Roman" w:hAnsi="Times New Roman"/>
          <w:bCs/>
        </w:rPr>
      </w:pPr>
    </w:p>
    <w:p w:rsidR="00314442" w:rsidRDefault="00314442" w:rsidP="002E5917">
      <w:pPr>
        <w:spacing w:line="360" w:lineRule="auto"/>
        <w:ind w:left="360"/>
        <w:jc w:val="both"/>
        <w:rPr>
          <w:rFonts w:ascii="Times New Roman" w:hAnsi="Times New Roman"/>
          <w:bCs/>
        </w:rPr>
      </w:pPr>
    </w:p>
    <w:p w:rsidR="00314442" w:rsidRPr="002E5917" w:rsidRDefault="00314442" w:rsidP="002E5917">
      <w:pPr>
        <w:spacing w:line="360" w:lineRule="auto"/>
        <w:ind w:left="360"/>
        <w:jc w:val="both"/>
        <w:rPr>
          <w:rFonts w:ascii="Times New Roman" w:hAnsi="Times New Roman"/>
          <w:bCs/>
        </w:rPr>
      </w:pPr>
    </w:p>
    <w:p w:rsidR="00583FAF" w:rsidRDefault="00583FAF"/>
    <w:sectPr w:rsidR="00583F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F57BE"/>
    <w:multiLevelType w:val="hybridMultilevel"/>
    <w:tmpl w:val="4F722C1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893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6D5"/>
    <w:rsid w:val="0007419C"/>
    <w:rsid w:val="00160304"/>
    <w:rsid w:val="00171D33"/>
    <w:rsid w:val="002E5917"/>
    <w:rsid w:val="00314442"/>
    <w:rsid w:val="00583FAF"/>
    <w:rsid w:val="005D6ABC"/>
    <w:rsid w:val="005F04FC"/>
    <w:rsid w:val="00904425"/>
    <w:rsid w:val="00AE4650"/>
    <w:rsid w:val="00B07088"/>
    <w:rsid w:val="00D945F2"/>
    <w:rsid w:val="00EF79BE"/>
    <w:rsid w:val="00F3606B"/>
    <w:rsid w:val="00FD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35CBC7"/>
  <w15:chartTrackingRefBased/>
  <w15:docId w15:val="{DAD9D26A-C473-EF4B-B23F-1FD38673D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76D5"/>
    <w:rPr>
      <w:rFonts w:ascii="Georgia" w:eastAsia="Times New Roman" w:hAnsi="Georgia" w:cs="Times New Roman"/>
      <w:kern w:val="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E5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2025-06-01T07:02:00Z</dcterms:created>
  <dcterms:modified xsi:type="dcterms:W3CDTF">2025-06-01T14:30:00Z</dcterms:modified>
</cp:coreProperties>
</file>